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20D" w:rsidRDefault="0068520D" w:rsidP="0068520D">
      <w:pPr>
        <w:pStyle w:val="1"/>
      </w:pPr>
      <w:r>
        <w:t>( 121-46-0 )4-甲基-1,3-戊二烯的理化及危险特性表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68520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标</w:t>
            </w:r>
          </w:p>
          <w:p w:rsidR="0068520D" w:rsidRDefault="0068520D" w:rsidP="0090435F">
            <w:pPr>
              <w:spacing w:line="26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szCs w:val="18"/>
              </w:rPr>
            </w:pPr>
            <w:r>
              <w:rPr>
                <w:rFonts w:ascii="宋体" w:hAnsi="宋体" w:hint="eastAsia"/>
              </w:rPr>
              <w:t>中文名:</w:t>
            </w:r>
            <w:r>
              <w:rPr>
                <w:rFonts w:ascii="宋体" w:hAnsi="宋体" w:hint="eastAsia"/>
                <w:szCs w:val="18"/>
              </w:rPr>
              <w:t xml:space="preserve"> 二环庚二烯；</w:t>
            </w:r>
          </w:p>
          <w:p w:rsidR="0068520D" w:rsidRDefault="0068520D" w:rsidP="0090435F">
            <w:pPr>
              <w:spacing w:line="266" w:lineRule="exact"/>
              <w:ind w:firstLineChars="500" w:firstLine="1050"/>
              <w:rPr>
                <w:rFonts w:ascii="宋体" w:hAnsi="宋体"/>
              </w:rPr>
            </w:pPr>
            <w:r>
              <w:rPr>
                <w:rFonts w:ascii="宋体" w:hAnsi="宋体" w:hint="eastAsia"/>
                <w:szCs w:val="18"/>
              </w:rPr>
              <w:t>2,5-降冰片二烯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szCs w:val="18"/>
              </w:rPr>
            </w:pPr>
            <w:r>
              <w:rPr>
                <w:rFonts w:ascii="宋体" w:hAnsi="宋体" w:hint="eastAsia"/>
              </w:rPr>
              <w:t>英文名:</w:t>
            </w:r>
            <w:r>
              <w:rPr>
                <w:rFonts w:ascii="宋体" w:hAnsi="宋体" w:hint="eastAsia"/>
                <w:szCs w:val="18"/>
              </w:rPr>
              <w:t xml:space="preserve"> dicycloheptadiene</w:t>
            </w:r>
            <w:r>
              <w:rPr>
                <w:rFonts w:ascii="宋体" w:hAnsi="宋体" w:hint="eastAsia"/>
                <w:szCs w:val="18"/>
                <w:lang w:val="en-GB"/>
              </w:rPr>
              <w:t>；</w:t>
            </w:r>
          </w:p>
          <w:p w:rsidR="0068520D" w:rsidRDefault="0068520D" w:rsidP="0090435F">
            <w:pPr>
              <w:spacing w:line="266" w:lineRule="exact"/>
              <w:rPr>
                <w:rFonts w:ascii="宋体" w:hAnsi="宋体"/>
              </w:rPr>
            </w:pPr>
            <w:r>
              <w:rPr>
                <w:rFonts w:ascii="宋体" w:hAnsi="宋体" w:hint="eastAsia"/>
                <w:szCs w:val="18"/>
              </w:rPr>
              <w:t xml:space="preserve">         2,5-norbornadiene  </w:t>
            </w:r>
          </w:p>
        </w:tc>
      </w:tr>
      <w:tr w:rsidR="0068520D" w:rsidTr="0090435F">
        <w:trPr>
          <w:cantSplit/>
          <w:jc w:val="center"/>
        </w:trPr>
        <w:tc>
          <w:tcPr>
            <w:tcW w:w="489" w:type="dxa"/>
            <w:vMerge/>
            <w:tcBorders>
              <w:left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8</w:t>
            </w:r>
          </w:p>
        </w:tc>
        <w:tc>
          <w:tcPr>
            <w:tcW w:w="2696"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color w:val="FF6600"/>
              </w:rPr>
            </w:pPr>
            <w:r>
              <w:rPr>
                <w:rFonts w:ascii="宋体" w:hAnsi="宋体" w:hint="eastAsia"/>
              </w:rPr>
              <w:t>分子量：92.1</w:t>
            </w:r>
          </w:p>
        </w:tc>
        <w:tc>
          <w:tcPr>
            <w:tcW w:w="2170"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UN编号：2251</w:t>
            </w:r>
          </w:p>
        </w:tc>
      </w:tr>
      <w:tr w:rsidR="0068520D" w:rsidTr="0090435F">
        <w:trPr>
          <w:cantSplit/>
          <w:jc w:val="center"/>
        </w:trPr>
        <w:tc>
          <w:tcPr>
            <w:tcW w:w="489" w:type="dxa"/>
            <w:vMerge/>
            <w:tcBorders>
              <w:left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危规号： 31016</w:t>
            </w:r>
          </w:p>
        </w:tc>
        <w:tc>
          <w:tcPr>
            <w:tcW w:w="2170"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CAS号：</w:t>
            </w:r>
            <w:r>
              <w:rPr>
                <w:rFonts w:ascii="宋体" w:hAnsi="宋体" w:hint="eastAsia"/>
                <w:szCs w:val="18"/>
              </w:rPr>
              <w:t xml:space="preserve"> 121-46-0 </w:t>
            </w:r>
          </w:p>
        </w:tc>
      </w:tr>
      <w:tr w:rsidR="0068520D" w:rsidTr="0090435F">
        <w:trPr>
          <w:cantSplit/>
          <w:jc w:val="center"/>
        </w:trPr>
        <w:tc>
          <w:tcPr>
            <w:tcW w:w="489" w:type="dxa"/>
            <w:vMerge/>
            <w:tcBorders>
              <w:left w:val="single" w:sz="4" w:space="0" w:color="auto"/>
              <w:bottom w:val="nil"/>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 xml:space="preserve">包装类别： </w:t>
            </w:r>
          </w:p>
        </w:tc>
      </w:tr>
      <w:tr w:rsidR="0068520D"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理</w:t>
            </w:r>
          </w:p>
          <w:p w:rsidR="0068520D" w:rsidRDefault="0068520D" w:rsidP="0090435F">
            <w:pPr>
              <w:spacing w:line="266" w:lineRule="exact"/>
              <w:jc w:val="center"/>
              <w:rPr>
                <w:rFonts w:ascii="宋体" w:hAnsi="宋体"/>
              </w:rPr>
            </w:pPr>
            <w:r>
              <w:rPr>
                <w:rFonts w:ascii="宋体" w:hAnsi="宋体" w:hint="eastAsia"/>
              </w:rPr>
              <w:t>化</w:t>
            </w:r>
          </w:p>
          <w:p w:rsidR="0068520D" w:rsidRDefault="0068520D" w:rsidP="0090435F">
            <w:pPr>
              <w:spacing w:line="266" w:lineRule="exact"/>
              <w:jc w:val="center"/>
              <w:rPr>
                <w:rFonts w:ascii="宋体" w:hAnsi="宋体"/>
              </w:rPr>
            </w:pPr>
            <w:r>
              <w:rPr>
                <w:rFonts w:ascii="宋体" w:hAnsi="宋体" w:hint="eastAsia"/>
              </w:rPr>
              <w:t>性</w:t>
            </w:r>
          </w:p>
          <w:p w:rsidR="0068520D" w:rsidRDefault="0068520D"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外观与性状：</w:t>
            </w:r>
            <w:r>
              <w:rPr>
                <w:rFonts w:ascii="宋体" w:hAnsi="宋体" w:hint="eastAsia"/>
                <w:szCs w:val="18"/>
              </w:rPr>
              <w:t>无色液体, 有特臭。</w:t>
            </w:r>
          </w:p>
        </w:tc>
      </w:tr>
      <w:tr w:rsidR="0068520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溶解性 ：</w:t>
            </w:r>
            <w:r>
              <w:rPr>
                <w:rFonts w:ascii="宋体" w:hAnsi="宋体" w:hint="eastAsia"/>
                <w:szCs w:val="18"/>
              </w:rPr>
              <w:t>不溶于水。</w:t>
            </w:r>
          </w:p>
        </w:tc>
      </w:tr>
      <w:tr w:rsidR="0068520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熔点（℃）：</w:t>
            </w:r>
            <w:r>
              <w:rPr>
                <w:rFonts w:ascii="宋体" w:hAnsi="宋体" w:hint="eastAsia"/>
                <w:szCs w:val="18"/>
              </w:rPr>
              <w:t>-19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沸点（℃）：</w:t>
            </w:r>
            <w:r>
              <w:rPr>
                <w:rFonts w:ascii="宋体" w:hAnsi="宋体" w:hint="eastAsia"/>
                <w:szCs w:val="18"/>
              </w:rPr>
              <w:t>89</w:t>
            </w:r>
          </w:p>
        </w:tc>
      </w:tr>
      <w:tr w:rsidR="0068520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相对密度（水＝1）：</w:t>
            </w:r>
            <w:r>
              <w:rPr>
                <w:rFonts w:ascii="宋体" w:hAnsi="宋体" w:hint="eastAsia"/>
                <w:szCs w:val="18"/>
              </w:rPr>
              <w:t>0.85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相对密度（空气＝1）：</w:t>
            </w:r>
            <w:r>
              <w:rPr>
                <w:rFonts w:ascii="宋体" w:hAnsi="宋体" w:hint="eastAsia"/>
                <w:szCs w:val="18"/>
              </w:rPr>
              <w:t>无资料</w:t>
            </w:r>
          </w:p>
        </w:tc>
      </w:tr>
      <w:tr w:rsidR="0068520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燃烧热（kJ/mol）：</w:t>
            </w:r>
            <w:r>
              <w:rPr>
                <w:rFonts w:ascii="宋体" w:hAnsi="宋体" w:hint="eastAsia"/>
                <w:szCs w:val="18"/>
              </w:rPr>
              <w:t>无资料</w:t>
            </w:r>
          </w:p>
        </w:tc>
      </w:tr>
      <w:tr w:rsidR="0068520D"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临界压力（MPa）：</w:t>
            </w:r>
          </w:p>
        </w:tc>
      </w:tr>
      <w:tr w:rsidR="0068520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燃</w:t>
            </w:r>
          </w:p>
          <w:p w:rsidR="0068520D" w:rsidRDefault="0068520D" w:rsidP="0090435F">
            <w:pPr>
              <w:spacing w:line="266" w:lineRule="exact"/>
              <w:jc w:val="center"/>
              <w:rPr>
                <w:rFonts w:ascii="宋体" w:hAnsi="宋体"/>
              </w:rPr>
            </w:pPr>
            <w:r>
              <w:rPr>
                <w:rFonts w:ascii="宋体" w:hAnsi="宋体" w:hint="eastAsia"/>
              </w:rPr>
              <w:t>烧</w:t>
            </w:r>
          </w:p>
          <w:p w:rsidR="0068520D" w:rsidRDefault="0068520D" w:rsidP="0090435F">
            <w:pPr>
              <w:spacing w:line="266" w:lineRule="exact"/>
              <w:jc w:val="center"/>
              <w:rPr>
                <w:rFonts w:ascii="宋体" w:hAnsi="宋体"/>
              </w:rPr>
            </w:pPr>
            <w:r>
              <w:rPr>
                <w:rFonts w:ascii="宋体" w:hAnsi="宋体" w:hint="eastAsia"/>
              </w:rPr>
              <w:t>爆</w:t>
            </w:r>
          </w:p>
          <w:p w:rsidR="0068520D" w:rsidRDefault="0068520D" w:rsidP="0090435F">
            <w:pPr>
              <w:spacing w:line="266" w:lineRule="exact"/>
              <w:jc w:val="center"/>
              <w:rPr>
                <w:rFonts w:ascii="宋体" w:hAnsi="宋体"/>
              </w:rPr>
            </w:pPr>
            <w:r>
              <w:rPr>
                <w:rFonts w:ascii="宋体" w:hAnsi="宋体" w:hint="eastAsia"/>
              </w:rPr>
              <w:t>炸</w:t>
            </w:r>
          </w:p>
          <w:p w:rsidR="0068520D" w:rsidRDefault="0068520D" w:rsidP="0090435F">
            <w:pPr>
              <w:spacing w:line="266" w:lineRule="exact"/>
              <w:jc w:val="center"/>
              <w:rPr>
                <w:rFonts w:ascii="宋体" w:hAnsi="宋体"/>
              </w:rPr>
            </w:pPr>
            <w:r>
              <w:rPr>
                <w:rFonts w:ascii="宋体" w:hAnsi="宋体" w:hint="eastAsia"/>
              </w:rPr>
              <w:t>危</w:t>
            </w:r>
          </w:p>
          <w:p w:rsidR="0068520D" w:rsidRDefault="0068520D" w:rsidP="0090435F">
            <w:pPr>
              <w:spacing w:line="266" w:lineRule="exact"/>
              <w:jc w:val="center"/>
              <w:rPr>
                <w:rFonts w:ascii="宋体" w:hAnsi="宋体"/>
              </w:rPr>
            </w:pPr>
            <w:r>
              <w:rPr>
                <w:rFonts w:ascii="宋体" w:hAnsi="宋体" w:hint="eastAsia"/>
              </w:rPr>
              <w:t>险</w:t>
            </w:r>
          </w:p>
          <w:p w:rsidR="0068520D" w:rsidRDefault="0068520D" w:rsidP="0090435F">
            <w:pPr>
              <w:spacing w:line="26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闪点（℃）： -11</w:t>
            </w:r>
          </w:p>
        </w:tc>
      </w:tr>
      <w:tr w:rsidR="0068520D" w:rsidTr="0090435F">
        <w:trPr>
          <w:cantSplit/>
          <w:jc w:val="center"/>
        </w:trPr>
        <w:tc>
          <w:tcPr>
            <w:tcW w:w="489" w:type="dxa"/>
            <w:vMerge/>
            <w:tcBorders>
              <w:top w:val="single" w:sz="4" w:space="0" w:color="auto"/>
              <w:left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爆炸上限（%）：</w:t>
            </w:r>
            <w:r>
              <w:rPr>
                <w:rFonts w:ascii="宋体" w:hAnsi="宋体" w:hint="eastAsia"/>
                <w:szCs w:val="18"/>
              </w:rPr>
              <w:t>无资料</w:t>
            </w:r>
          </w:p>
        </w:tc>
      </w:tr>
      <w:tr w:rsidR="0068520D" w:rsidTr="0090435F">
        <w:trPr>
          <w:cantSplit/>
          <w:jc w:val="center"/>
        </w:trPr>
        <w:tc>
          <w:tcPr>
            <w:tcW w:w="489" w:type="dxa"/>
            <w:vMerge/>
            <w:tcBorders>
              <w:top w:val="single" w:sz="4" w:space="0" w:color="auto"/>
              <w:left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最小点火能（mJ）：</w:t>
            </w:r>
            <w:r>
              <w:rPr>
                <w:rFonts w:ascii="宋体" w:hAnsi="宋体" w:hint="eastAsia"/>
                <w:szCs w:val="18"/>
              </w:rPr>
              <w:t>无资料</w:t>
            </w:r>
          </w:p>
        </w:tc>
      </w:tr>
      <w:tr w:rsidR="0068520D" w:rsidTr="0090435F">
        <w:trPr>
          <w:cantSplit/>
          <w:jc w:val="center"/>
        </w:trPr>
        <w:tc>
          <w:tcPr>
            <w:tcW w:w="489" w:type="dxa"/>
            <w:vMerge/>
            <w:tcBorders>
              <w:left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 xml:space="preserve">稳定性： </w:t>
            </w:r>
          </w:p>
        </w:tc>
      </w:tr>
      <w:tr w:rsidR="0068520D" w:rsidTr="0090435F">
        <w:trPr>
          <w:cantSplit/>
          <w:jc w:val="center"/>
        </w:trPr>
        <w:tc>
          <w:tcPr>
            <w:tcW w:w="489" w:type="dxa"/>
            <w:vMerge/>
            <w:tcBorders>
              <w:left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68520D" w:rsidTr="0090435F">
        <w:trPr>
          <w:cantSplit/>
          <w:jc w:val="center"/>
        </w:trPr>
        <w:tc>
          <w:tcPr>
            <w:tcW w:w="489" w:type="dxa"/>
            <w:vMerge/>
            <w:tcBorders>
              <w:left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强氧化剂、强酸。</w:t>
            </w:r>
          </w:p>
        </w:tc>
      </w:tr>
      <w:tr w:rsidR="0068520D" w:rsidTr="0090435F">
        <w:trPr>
          <w:cantSplit/>
          <w:jc w:val="center"/>
        </w:trPr>
        <w:tc>
          <w:tcPr>
            <w:tcW w:w="489" w:type="dxa"/>
            <w:vMerge/>
            <w:tcBorders>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流速过快，容易产生和积聚静电。容易自聚，聚合反应随着温度的上升而急骤加剧。若遇高热，容器内压增大，有开裂和爆炸的危险。</w:t>
            </w:r>
          </w:p>
        </w:tc>
      </w:tr>
      <w:tr w:rsidR="0068520D" w:rsidTr="0090435F">
        <w:trPr>
          <w:cantSplit/>
          <w:jc w:val="center"/>
        </w:trPr>
        <w:tc>
          <w:tcPr>
            <w:tcW w:w="489" w:type="dxa"/>
            <w:vMerge/>
            <w:tcBorders>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68520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毒</w:t>
            </w:r>
          </w:p>
          <w:p w:rsidR="0068520D" w:rsidRDefault="0068520D"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890 mg/kg(大鼠经口)</w:t>
            </w:r>
            <w:r>
              <w:rPr>
                <w:rFonts w:ascii="宋体" w:hAnsi="宋体" w:hint="eastAsia"/>
              </w:rPr>
              <w:t xml:space="preserve"> </w:t>
            </w:r>
          </w:p>
          <w:p w:rsidR="0068520D" w:rsidRDefault="0068520D"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14100ppm，8小时(大鼠吸入)</w:t>
            </w:r>
          </w:p>
        </w:tc>
      </w:tr>
      <w:tr w:rsidR="0068520D"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侵入途经：吸入、食入、经皮吸收。</w:t>
            </w:r>
          </w:p>
        </w:tc>
      </w:tr>
      <w:tr w:rsidR="0068520D"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szCs w:val="18"/>
              </w:rPr>
              <w:t>本品可由呼吸道和消化道进入体内。中毒后引起头痛、咳嗽、迟钝、呼吸困难、恶心。对眼和皮肤有刺激性。对皮肤有脱脂作用。 </w:t>
            </w:r>
          </w:p>
        </w:tc>
      </w:tr>
      <w:tr w:rsidR="0068520D" w:rsidTr="0090435F">
        <w:trPr>
          <w:cantSplit/>
          <w:jc w:val="center"/>
        </w:trPr>
        <w:tc>
          <w:tcPr>
            <w:tcW w:w="489" w:type="dxa"/>
            <w:tcBorders>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急</w:t>
            </w:r>
          </w:p>
          <w:p w:rsidR="0068520D" w:rsidRDefault="0068520D"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脱去污染的衣着，用大量流动清水冲洗。   ※眼睛接触：提起眼睑，用流动清水或生理盐水冲洗。就医。    ※吸入：脱离现场至空气新鲜处。如呼吸困难，给输氧。就医。   ※食入：饮足量温水，催吐。就医。</w:t>
            </w:r>
          </w:p>
        </w:tc>
      </w:tr>
      <w:tr w:rsidR="0068520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防</w:t>
            </w:r>
          </w:p>
          <w:p w:rsidR="0068520D" w:rsidRDefault="0068520D"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空气中浓度较高时，应该佩戴过滤式防毒面具（半面罩）。紧急事态抢救或逃生时，建议佩戴空气呼吸器。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68520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泄</w:t>
            </w:r>
          </w:p>
          <w:p w:rsidR="0068520D" w:rsidRDefault="0068520D" w:rsidP="0090435F">
            <w:pPr>
              <w:spacing w:line="266" w:lineRule="exact"/>
              <w:jc w:val="center"/>
              <w:rPr>
                <w:rFonts w:ascii="宋体" w:hAnsi="宋体"/>
              </w:rPr>
            </w:pPr>
            <w:r>
              <w:rPr>
                <w:rFonts w:ascii="宋体" w:hAnsi="宋体" w:hint="eastAsia"/>
              </w:rPr>
              <w:t>漏</w:t>
            </w:r>
          </w:p>
          <w:p w:rsidR="0068520D" w:rsidRDefault="0068520D" w:rsidP="0090435F">
            <w:pPr>
              <w:spacing w:line="266" w:lineRule="exact"/>
              <w:jc w:val="center"/>
              <w:rPr>
                <w:rFonts w:ascii="宋体" w:hAnsi="宋体"/>
              </w:rPr>
            </w:pPr>
            <w:r>
              <w:rPr>
                <w:rFonts w:ascii="宋体" w:hAnsi="宋体" w:hint="eastAsia"/>
              </w:rPr>
              <w:t>处</w:t>
            </w:r>
          </w:p>
          <w:p w:rsidR="0068520D" w:rsidRDefault="0068520D"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8520D" w:rsidRDefault="0068520D"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泵转移至槽车或专用收集器内，回收或运至废物处理场所处置。</w:t>
            </w:r>
          </w:p>
        </w:tc>
      </w:tr>
      <w:tr w:rsidR="0068520D" w:rsidTr="0090435F">
        <w:trPr>
          <w:cantSplit/>
          <w:jc w:val="center"/>
        </w:trPr>
        <w:tc>
          <w:tcPr>
            <w:tcW w:w="489" w:type="dxa"/>
            <w:tcBorders>
              <w:top w:val="single" w:sz="4" w:space="0" w:color="auto"/>
              <w:left w:val="single" w:sz="4" w:space="0" w:color="auto"/>
              <w:right w:val="single" w:sz="4" w:space="0" w:color="auto"/>
            </w:tcBorders>
            <w:vAlign w:val="center"/>
          </w:tcPr>
          <w:p w:rsidR="0068520D" w:rsidRDefault="0068520D" w:rsidP="0090435F">
            <w:pPr>
              <w:spacing w:line="266" w:lineRule="exact"/>
              <w:jc w:val="center"/>
              <w:rPr>
                <w:rFonts w:ascii="宋体" w:hAnsi="宋体"/>
              </w:rPr>
            </w:pPr>
            <w:r>
              <w:rPr>
                <w:rFonts w:ascii="宋体" w:hAnsi="宋体" w:hint="eastAsia"/>
              </w:rPr>
              <w:t>储</w:t>
            </w:r>
          </w:p>
          <w:p w:rsidR="0068520D" w:rsidRDefault="0068520D"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8520D" w:rsidRDefault="0068520D" w:rsidP="0090435F">
            <w:pPr>
              <w:spacing w:line="266" w:lineRule="exact"/>
              <w:rPr>
                <w:rFonts w:ascii="宋体" w:hAnsi="宋体"/>
                <w:szCs w:val="18"/>
              </w:rPr>
            </w:pPr>
            <w:r>
              <w:rPr>
                <w:rFonts w:ascii="宋体" w:hAnsi="宋体" w:hint="eastAsia"/>
                <w:szCs w:val="18"/>
              </w:rPr>
              <w:t>储存于阴凉、通风的库房。远离火种、热源。库温不宜超过30℃。应与氧化剂、酸类、食用化学品分开存放，切忌混储。采用防爆型照明、通风设施。禁止使用易产生火花的机械设备和工具。储区应备有泄漏应急处理设备和合适的收容材料。</w:t>
            </w:r>
          </w:p>
          <w:p w:rsidR="0068520D" w:rsidRDefault="0068520D"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0D"/>
    <w:rsid w:val="0068520D"/>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021BC-59BE-4BE2-B017-C60CD240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8520D"/>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8520D"/>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Company>zyhq</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